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80D54DB">
      <w:pPr>
        <w:rPr>
          <w:rFonts w:hint="default" w:ascii="Times New Roman" w:hAnsi="Times New Roman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黑体" w:cs="Times New Roman"/>
          <w:color w:val="auto"/>
          <w:sz w:val="32"/>
          <w:szCs w:val="32"/>
          <w:lang w:val="en-US" w:eastAsia="zh-CN"/>
        </w:rPr>
        <w:t>附件3</w:t>
      </w:r>
    </w:p>
    <w:p w14:paraId="0F8566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Times New Roman" w:hAnsi="Times New Roman" w:eastAsia="方正小标宋_GBK" w:cs="Times New Roman"/>
          <w:color w:val="auto"/>
          <w:sz w:val="44"/>
          <w:szCs w:val="44"/>
          <w:lang w:val="en-US" w:eastAsia="zh-CN"/>
        </w:rPr>
      </w:pPr>
      <w:bookmarkStart w:id="0" w:name="OLE_LINK14"/>
    </w:p>
    <w:p w14:paraId="111FCDB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Times New Roman" w:hAnsi="Times New Roman" w:eastAsia="方正小标宋_GBK" w:cs="Times New Roman"/>
          <w:color w:val="auto"/>
          <w:sz w:val="44"/>
          <w:szCs w:val="44"/>
          <w:lang w:val="en-US" w:eastAsia="zh-CN"/>
        </w:rPr>
      </w:pPr>
      <w:bookmarkStart w:id="4" w:name="_GoBack"/>
      <w:r>
        <w:rPr>
          <w:rFonts w:hint="default" w:ascii="Times New Roman" w:hAnsi="Times New Roman" w:eastAsia="方正小标宋_GBK" w:cs="Times New Roman"/>
          <w:color w:val="auto"/>
          <w:sz w:val="44"/>
          <w:szCs w:val="44"/>
          <w:lang w:val="en-US" w:eastAsia="zh-CN"/>
        </w:rPr>
        <w:t>长江产业集团</w:t>
      </w:r>
      <w:r>
        <w:rPr>
          <w:rFonts w:hint="default" w:ascii="Times New Roman" w:hAnsi="Times New Roman" w:eastAsia="方正小标宋_GBK" w:cs="Times New Roman"/>
          <w:color w:val="auto"/>
          <w:sz w:val="44"/>
          <w:szCs w:val="44"/>
        </w:rPr>
        <w:t>“DeepSeek+”</w:t>
      </w:r>
      <w:r>
        <w:rPr>
          <w:rFonts w:hint="default" w:ascii="Times New Roman" w:hAnsi="Times New Roman" w:eastAsia="方正小标宋_GBK" w:cs="Times New Roman"/>
          <w:color w:val="auto"/>
          <w:sz w:val="44"/>
          <w:szCs w:val="44"/>
          <w:lang w:val="en-US" w:eastAsia="zh-CN"/>
        </w:rPr>
        <w:t>融合</w:t>
      </w:r>
      <w:r>
        <w:rPr>
          <w:rFonts w:hint="default" w:ascii="Times New Roman" w:hAnsi="Times New Roman" w:eastAsia="方正小标宋_GBK" w:cs="Times New Roman"/>
          <w:color w:val="auto"/>
          <w:sz w:val="44"/>
          <w:szCs w:val="44"/>
        </w:rPr>
        <w:t>创新应用大赛</w:t>
      </w:r>
      <w:r>
        <w:rPr>
          <w:rFonts w:hint="default" w:ascii="Times New Roman" w:hAnsi="Times New Roman" w:eastAsia="方正小标宋_GBK" w:cs="Times New Roman"/>
          <w:color w:val="auto"/>
          <w:sz w:val="44"/>
          <w:szCs w:val="44"/>
          <w:lang w:val="en-US" w:eastAsia="zh-CN"/>
        </w:rPr>
        <w:t>个人组赛道方向</w:t>
      </w:r>
      <w:bookmarkEnd w:id="4"/>
    </w:p>
    <w:bookmarkEnd w:id="0"/>
    <w:p w14:paraId="0FEAFD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</w:p>
    <w:p w14:paraId="7A1F6E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赛道一：一秒沦陷·AI美颜暴击。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现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有一张长江新材宜都长阳清江项目流域的实景图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，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其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构图、色彩、光影等均不理想，</w:t>
      </w:r>
      <w:bookmarkStart w:id="1" w:name="OLE_LINK17"/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请使用AI工具，</w:t>
      </w:r>
      <w:bookmarkEnd w:id="1"/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对图片进行裁剪、瑕疵修复、色彩调整等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计划使用在长江产业集团公众号</w:t>
      </w:r>
      <w:bookmarkStart w:id="2" w:name="OLE_LINK16"/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对外宣传。</w:t>
      </w:r>
    </w:p>
    <w:bookmarkEnd w:id="2"/>
    <w:p w14:paraId="62AE5D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204470</wp:posOffset>
            </wp:positionV>
            <wp:extent cx="5244465" cy="3496310"/>
            <wp:effectExtent l="0" t="0" r="13335" b="8890"/>
            <wp:wrapNone/>
            <wp:docPr id="1" name="图片 2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图片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349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6EAF6B"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40" w:firstLineChars="200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br w:type="page"/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赛道二：指尖上的“像素流星雨”。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“e长江”是集团全员专属APP和统一门户，将呈现业务系统集成化，数据资源整合化，办事服务一体化，请结合长江产业集团功能定位、企业文化以及平台实际，通过deepseek与其他工具组合运用，为集团办公一体化平台——“e长江”设计一个logo（附创作思路、理念和含义解读）。要求原创logo要简约、大气，具备视觉冲击、便于识别推广，符合社会主流价值观。</w:t>
      </w:r>
    </w:p>
    <w:p w14:paraId="6D066B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br w:type="page"/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 xml:space="preserve">  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赛道三：PPT仙人，法力无边。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现有一篇关于长江产业集团社会责任工作的经验材料，计划在全省国资国企履行社会责任工作推进会上作交流发言，需要制作一份PPT，要求风格符合发言场合和材料内容，大纲框架清晰等。</w:t>
      </w:r>
    </w:p>
    <w:p w14:paraId="06D913D8">
      <w:pPr>
        <w:pStyle w:val="2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Times New Roman" w:hAnsi="Times New Roman" w:eastAsia="方正小标宋_GBK" w:cs="Times New Roman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小标宋_GBK" w:cs="Times New Roman"/>
          <w:b w:val="0"/>
          <w:bCs w:val="0"/>
          <w:color w:val="auto"/>
          <w:sz w:val="32"/>
          <w:szCs w:val="32"/>
          <w:lang w:val="en-US" w:eastAsia="zh-CN"/>
        </w:rPr>
        <w:t>践行“五大责任” 彰显国企担当</w:t>
      </w:r>
    </w:p>
    <w:p w14:paraId="2932C29F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习近平总书记强调“一个企业既有经济责任、法律责任，也有社会责任、道德责任”。长江产业集团改革重组以来，在省政府国资委的正确领导下，我们用踔厉奋发的奋进姿态书写了转型突破的新篇章，积极践行治理责任、经济责任、环境责任、员工责任、公共责任，充分彰显了国企担当。2024年1月27日，集团正式发布2022—2023年度社会责任报告。生动呈现集团践行社会责任的具体实践。</w:t>
      </w:r>
    </w:p>
    <w:p w14:paraId="7F2F6C3C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黑体" w:cs="Times New Roman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黑体" w:cs="Times New Roman"/>
          <w:b w:val="0"/>
          <w:bCs w:val="0"/>
          <w:color w:val="auto"/>
          <w:sz w:val="32"/>
          <w:szCs w:val="32"/>
          <w:lang w:val="en-US" w:eastAsia="zh-CN"/>
        </w:rPr>
        <w:t>一、筑基，以治理责任保障企业发展</w:t>
      </w:r>
    </w:p>
    <w:p w14:paraId="2308865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b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楷体_GB2312" w:cs="Times New Roman"/>
          <w:b w:val="0"/>
          <w:bCs/>
          <w:color w:val="auto"/>
          <w:sz w:val="32"/>
          <w:szCs w:val="32"/>
          <w:lang w:val="en-US" w:eastAsia="zh-CN"/>
        </w:rPr>
        <w:t>（一）党建引领彰显国企本色。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集团党委</w:t>
      </w:r>
      <w:r>
        <w:rPr>
          <w:rFonts w:hint="default" w:ascii="Times New Roman" w:hAnsi="Times New Roman" w:eastAsia="仿宋_GB2312" w:cs="Times New Roman"/>
          <w:b w:val="0"/>
          <w:color w:val="auto"/>
          <w:kern w:val="2"/>
          <w:sz w:val="32"/>
          <w:szCs w:val="32"/>
          <w:lang w:val="en-US" w:eastAsia="zh-CN" w:bidi="ar-SA"/>
        </w:rPr>
        <w:t>持续巩固主题教育成果，扎实开展党纪学习教育，围绕改革发展大局，打造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“旭满长江”党建品牌、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“情满长江”工会品牌、“逐浪长江”青年品牌，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推动落地一批党建经营融合项目，真正实现以高质量党建引领保障企业高质量发展。</w:t>
      </w:r>
    </w:p>
    <w:p w14:paraId="6ED16BF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楷体_GB2312" w:cs="Times New Roman"/>
          <w:b w:val="0"/>
          <w:color w:val="auto"/>
          <w:kern w:val="2"/>
          <w:sz w:val="32"/>
          <w:szCs w:val="32"/>
          <w:lang w:val="en-US" w:eastAsia="zh-CN" w:bidi="ar-SA"/>
        </w:rPr>
        <w:t>（二）重组整合释放改革红利。2022年，</w:t>
      </w:r>
      <w:r>
        <w:rPr>
          <w:rFonts w:hint="default" w:ascii="Times New Roman" w:hAnsi="Times New Roman" w:eastAsia="仿宋_GB2312" w:cs="Times New Roman"/>
          <w:color w:val="auto"/>
          <w:kern w:val="0"/>
          <w:sz w:val="32"/>
          <w:szCs w:val="32"/>
          <w:lang w:val="en-US" w:eastAsia="zh-CN" w:bidi="ar"/>
        </w:rPr>
        <w:t>集团作为省属国资国企改革的“首发阵容”，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全面完成战略重组。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kern w:val="0"/>
          <w:sz w:val="32"/>
          <w:szCs w:val="32"/>
          <w:lang w:val="en-US" w:eastAsia="zh-CN" w:bidi="ar"/>
        </w:rPr>
        <w:t>持续聚焦主责主业，凸显国资引领作用，着力推进投资并购“双驱动”，国企改革三年行动考核在省属企业位列第二，改革发展成效显著。</w:t>
      </w:r>
    </w:p>
    <w:p w14:paraId="4EE917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楷体_GB2312" w:cs="Times New Roman"/>
          <w:b w:val="0"/>
          <w:color w:val="auto"/>
          <w:kern w:val="2"/>
          <w:sz w:val="32"/>
          <w:szCs w:val="32"/>
          <w:lang w:val="en-US" w:eastAsia="zh-CN" w:bidi="ar-SA"/>
        </w:rPr>
        <w:t>（三）科技创新唤醒内生动力。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023年9月，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</w:rPr>
        <w:t>首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届创新周活动成功举办，发布了省属平台首个科技创新发展报告。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highlight w:val="none"/>
        </w:rPr>
        <w:t>建立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highlight w:val="none"/>
          <w:lang w:val="en-US" w:eastAsia="zh-CN"/>
        </w:rPr>
        <w:t>了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highlight w:val="none"/>
        </w:rPr>
        <w:t>科技创新管理体系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highlight w:val="none"/>
        </w:rPr>
        <w:t>加大科技创新投入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highlight w:val="none"/>
          <w:lang w:val="en-US" w:eastAsia="zh-CN"/>
        </w:rPr>
        <w:t>突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highlight w:val="none"/>
        </w:rPr>
        <w:t>出关键技术攻关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highlight w:val="none"/>
          <w:lang w:eastAsia="zh-CN"/>
        </w:rPr>
        <w:t>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highlight w:val="none"/>
          <w:lang w:val="en-US" w:eastAsia="zh-CN"/>
        </w:rPr>
        <w:t>2个项目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</w:rPr>
        <w:t>获批省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重大科技项目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highlight w:val="none"/>
        </w:rPr>
        <w:t>，持有授权知识产权1879项。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highlight w:val="none"/>
        </w:rPr>
        <w:t>牵头组建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highlight w:val="none"/>
          <w:lang w:val="en-US" w:eastAsia="zh-CN"/>
        </w:rPr>
        <w:t>了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highlight w:val="none"/>
        </w:rPr>
        <w:t>湖北科创投公司，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highlight w:val="none"/>
          <w:lang w:val="en-US" w:eastAsia="zh-CN"/>
        </w:rPr>
        <w:t>助力以用为导向的科创供应链体系建设。</w:t>
      </w:r>
    </w:p>
    <w:p w14:paraId="547A2B3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20" w:firstLineChars="200"/>
        <w:jc w:val="both"/>
        <w:textAlignment w:val="auto"/>
        <w:rPr>
          <w:rFonts w:hint="default" w:ascii="Times New Roman" w:hAnsi="Times New Roman" w:eastAsia="仿宋_GB2312" w:cs="Times New Roman"/>
          <w:color w:val="auto"/>
          <w:kern w:val="0"/>
          <w:sz w:val="31"/>
          <w:szCs w:val="31"/>
          <w:lang w:val="en-US" w:eastAsia="zh-CN" w:bidi="ar"/>
        </w:rPr>
      </w:pPr>
      <w:r>
        <w:rPr>
          <w:rFonts w:hint="default" w:ascii="Times New Roman" w:hAnsi="Times New Roman" w:eastAsia="黑体" w:cs="Times New Roman"/>
          <w:color w:val="auto"/>
          <w:kern w:val="0"/>
          <w:sz w:val="31"/>
          <w:szCs w:val="31"/>
          <w:lang w:val="en-US" w:eastAsia="zh-CN" w:bidi="ar"/>
        </w:rPr>
        <w:t>二、赋能，以经济责任服务全省大局</w:t>
      </w:r>
    </w:p>
    <w:p w14:paraId="1D3051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color w:val="auto"/>
          <w:kern w:val="0"/>
          <w:sz w:val="32"/>
          <w:szCs w:val="32"/>
          <w:lang w:bidi="ar"/>
        </w:rPr>
      </w:pPr>
      <w:r>
        <w:rPr>
          <w:rFonts w:hint="default" w:ascii="Times New Roman" w:hAnsi="Times New Roman" w:eastAsia="楷体_GB2312" w:cs="Times New Roman"/>
          <w:color w:val="auto"/>
          <w:kern w:val="0"/>
          <w:sz w:val="32"/>
          <w:szCs w:val="32"/>
          <w:lang w:val="en-US" w:eastAsia="zh-CN" w:bidi="ar"/>
        </w:rPr>
        <w:t>（一）产业强省，大道向前。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一是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推进价值链高端布局，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设立一批战略性新兴产业基金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，加快前瞻性新兴产业规划。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二是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推动传统产业升级，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加快高端化、智能化转型，实现绿色低碳、节能降耗目标。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三是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全力推进科创供应链建设，打造高质量产业供应链体系。</w:t>
      </w:r>
    </w:p>
    <w:p w14:paraId="0B57D2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60" w:lineRule="exact"/>
        <w:jc w:val="both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</w:rPr>
      </w:pPr>
      <w:r>
        <w:rPr>
          <w:rFonts w:hint="default" w:ascii="Times New Roman" w:hAnsi="Times New Roman" w:eastAsia="仿宋_GB2312" w:cs="Times New Roman"/>
          <w:b/>
          <w:bCs/>
          <w:color w:val="auto"/>
          <w:kern w:val="2"/>
          <w:sz w:val="32"/>
          <w:szCs w:val="32"/>
          <w:lang w:val="en-US" w:eastAsia="zh-CN" w:bidi="ar-SA"/>
        </w:rPr>
        <w:t xml:space="preserve">   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 xml:space="preserve"> 集团各产业板块发展成效可圈可点。</w:t>
      </w:r>
      <w:r>
        <w:rPr>
          <w:rFonts w:hint="default" w:ascii="Times New Roman" w:hAnsi="Times New Roman" w:eastAsia="仿宋_GB2312" w:cs="Times New Roman"/>
          <w:b/>
          <w:bCs/>
          <w:color w:val="auto"/>
          <w:kern w:val="2"/>
          <w:sz w:val="32"/>
          <w:szCs w:val="32"/>
          <w:lang w:val="en-US" w:eastAsia="zh-CN" w:bidi="ar-SA"/>
        </w:rPr>
        <w:t>生物医药板块：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广济药业以科技创新引领发展，推动公司从生产制造型向创新引领型企业战略转型。</w:t>
      </w:r>
      <w:r>
        <w:rPr>
          <w:rFonts w:hint="default" w:ascii="Times New Roman" w:hAnsi="Times New Roman" w:eastAsia="仿宋_GB2312" w:cs="Times New Roman"/>
          <w:b/>
          <w:bCs/>
          <w:color w:val="auto"/>
          <w:kern w:val="2"/>
          <w:sz w:val="32"/>
          <w:szCs w:val="32"/>
          <w:lang w:val="en-US" w:eastAsia="zh-CN" w:bidi="ar-SA"/>
        </w:rPr>
        <w:t>新一代信息技术板块：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万润科技大力发展以LED、存储半导体电子产业为核心的新一代信息技术产业，</w:t>
      </w:r>
      <w:r>
        <w:rPr>
          <w:rFonts w:hint="default" w:ascii="Times New Roman" w:hAnsi="Times New Roman" w:eastAsia="仿宋" w:cs="Times New Roman"/>
          <w:b/>
          <w:bCs/>
          <w:color w:val="auto"/>
          <w:sz w:val="32"/>
          <w:szCs w:val="32"/>
          <w:lang w:val="en-US" w:eastAsia="zh-CN"/>
        </w:rPr>
        <w:t>新能源板块：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湖北省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新能源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积极落实“碳达峰、碳中和”战略，坚持规模与效益并重，不断探索错位竞争与科技创新之路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。</w:t>
      </w:r>
      <w:r>
        <w:rPr>
          <w:rFonts w:hint="default" w:ascii="Times New Roman" w:hAnsi="Times New Roman" w:eastAsia="仿宋_GB2312" w:cs="Times New Roman"/>
          <w:b/>
          <w:bCs/>
          <w:color w:val="auto"/>
          <w:kern w:val="2"/>
          <w:sz w:val="32"/>
          <w:szCs w:val="32"/>
          <w:lang w:val="en-US" w:eastAsia="zh-CN" w:bidi="ar-SA"/>
        </w:rPr>
        <w:t>现代化工板块：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双环科技以“强管理、增效益”为主题，推动经营发展提档升级。</w:t>
      </w:r>
      <w:r>
        <w:rPr>
          <w:rFonts w:hint="default" w:ascii="Times New Roman" w:hAnsi="Times New Roman" w:eastAsia="仿宋_GB2312" w:cs="Times New Roman"/>
          <w:i w:val="0"/>
          <w:iCs w:val="0"/>
          <w:caps w:val="0"/>
          <w:color w:val="auto"/>
          <w:spacing w:val="0"/>
          <w:sz w:val="32"/>
          <w:szCs w:val="32"/>
          <w:lang w:val="en-US" w:eastAsia="zh-CN"/>
        </w:rPr>
        <w:t>长江化工旗下宏宜化工年产40万吨合成氨升级改造项目，顺利打通全流程，生产出合格液氨产品。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lang w:val="en-US" w:eastAsia="zh-CN"/>
        </w:rPr>
        <w:t>生态环保板块：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湖北生态扛起“生态优先、绿色发展”旗帜，助力长江经济带生态环保产业的高质量发展。</w:t>
      </w:r>
    </w:p>
    <w:p w14:paraId="45F1815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新材料板块：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长江新材围绕绿色新材产业投资和运营，新型建材及新材料研发、生产、销售及技术创新，产业供应链贸易等方面积极拓展业务。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北斗数字板块：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长江北斗完成平台组建、开展行业研究、加速整合并购、推进头部合作、布局基础建设、探索产业融合。</w:t>
      </w:r>
    </w:p>
    <w:p w14:paraId="7C35CB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楷体_GB2312" w:cs="Times New Roman"/>
          <w:color w:val="auto"/>
          <w:kern w:val="0"/>
          <w:sz w:val="32"/>
          <w:szCs w:val="32"/>
          <w:lang w:val="en-US" w:eastAsia="zh-CN" w:bidi="ar"/>
        </w:rPr>
        <w:t>（二）资本赋能，驱动发展。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一是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以国资母基金为“引领”，聚力打造“2+3+5+N”产业基金体系。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二是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</w:rPr>
        <w:t>整合资源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打造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母基金管理平台——长江产投，基金管理人平台——长江创投。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三是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整合后支持国资母基金做大做强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激励管理人团队机制做活，推动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管理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eastAsia="zh-CN"/>
        </w:rPr>
        <w:t>稳健高效。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四是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打造100亿元楚天凤鸣基金，推动形成天使子基金矩阵，完善科技创新企业对接机制，通过人才基金支持科创企业股权激励，加大对科技型企业投资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。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五是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支持服务优势产业、新兴特色产业链以及实体经济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，以资本赋能产业发展。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六是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积极拓展资本市场，推动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形成“上市公司+PE/VC”合作机制，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打造资本市场培育基地，搭建上市公司战略投资平台。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七是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持续完善基金“生态圈”，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聚集多方资源合力，发挥资本市场孵化培育功能，加大金融产品创新力度，服务被投企业。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撮合产业与资本联姻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。</w:t>
      </w:r>
    </w:p>
    <w:p w14:paraId="0A9D460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楷体_GB2312" w:cs="Times New Roman"/>
          <w:color w:val="auto"/>
          <w:sz w:val="32"/>
          <w:szCs w:val="32"/>
          <w:lang w:val="en-US" w:eastAsia="zh-CN"/>
        </w:rPr>
        <w:t>（三）区域协同，优势共享。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lang w:val="en-US" w:eastAsia="zh-CN"/>
        </w:rPr>
        <w:t>一是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lang w:eastAsia="zh-CN"/>
        </w:rPr>
        <w:t>持续加强政企合作，陆续与襄阳、宜昌等13个市（州）和江汉区、仙桃市、蕲春县等重点县（市、区）签订全面战略合作协议，依托“产业+科技+资本+载体”集成优势为地方产业发展全面赋能。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lang w:val="en-US" w:eastAsia="zh-CN"/>
        </w:rPr>
        <w:t>二是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lang w:val="en-US" w:eastAsia="zh-CN"/>
        </w:rPr>
        <w:t>聚焦武鄂黄黄、襄十随神、宜荆荆三大都市圈建设，集团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主动对接联系各地市州政府、龙头企业、新型研发机构，汇聚起省内政产学研金合力。</w:t>
      </w:r>
    </w:p>
    <w:p w14:paraId="7541C1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黑体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黑体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三、和谐，以环境责任共筑绿色家园</w:t>
      </w:r>
    </w:p>
    <w:p w14:paraId="36B38E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lang w:val="en-US" w:eastAsia="zh-CN"/>
        </w:rPr>
      </w:pPr>
      <w:r>
        <w:rPr>
          <w:rFonts w:hint="default" w:ascii="Times New Roman" w:hAnsi="Times New Roman" w:eastAsia="楷体_GB2312" w:cs="Times New Roman"/>
          <w:color w:val="auto"/>
          <w:sz w:val="32"/>
          <w:szCs w:val="32"/>
          <w:lang w:val="en-US" w:eastAsia="zh-CN"/>
        </w:rPr>
        <w:t>（一）在实施流域综合治理方面，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lang w:val="en-US" w:eastAsia="zh-CN"/>
        </w:rPr>
        <w:t>长江新材全面实施省内清江、巴河、浠水、沮漳河等流域河道整治工程。湖北生态积极跟进荆门东宝、十堰茅箭等小流域项目，加快打造全省流域型全域国土综合整治试点示范。</w:t>
      </w:r>
    </w:p>
    <w:p w14:paraId="2016903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b/>
          <w:color w:val="auto"/>
          <w:sz w:val="32"/>
          <w:szCs w:val="32"/>
          <w:lang w:eastAsia="zh-CN"/>
        </w:rPr>
      </w:pPr>
      <w:r>
        <w:rPr>
          <w:rFonts w:hint="default" w:ascii="Times New Roman" w:hAnsi="Times New Roman" w:eastAsia="楷体_GB2312" w:cs="Times New Roman"/>
          <w:color w:val="auto"/>
          <w:sz w:val="32"/>
          <w:szCs w:val="32"/>
          <w:lang w:val="en-US" w:eastAsia="zh-CN"/>
        </w:rPr>
        <w:t>（二）在推进国土综合整治方面，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lang w:val="en-US" w:eastAsia="zh-CN"/>
        </w:rPr>
        <w:t>长江新材坚持整地、治水、通路、绿化、开发“五位一体”，建设高标准基本农田。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湖北生态已落地的当阳玉泉全域项目，成为全省第一个全域国土综合整治省级试点项目。</w:t>
      </w:r>
    </w:p>
    <w:p w14:paraId="1DD5881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lang w:val="en-US" w:eastAsia="zh-CN"/>
        </w:rPr>
      </w:pPr>
      <w:r>
        <w:rPr>
          <w:rFonts w:hint="default" w:ascii="Times New Roman" w:hAnsi="Times New Roman" w:eastAsia="楷体_GB2312" w:cs="Times New Roman"/>
          <w:color w:val="auto"/>
          <w:sz w:val="32"/>
          <w:szCs w:val="32"/>
          <w:lang w:val="en-US" w:eastAsia="zh-CN"/>
        </w:rPr>
        <w:t>（三）在布局清洁能源项目方面，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/>
        </w:rPr>
        <w:t>湖北新能源</w:t>
      </w:r>
      <w:r>
        <w:rPr>
          <w:rFonts w:hint="default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 w:bidi="ar"/>
        </w:rPr>
        <w:t>加大风光清洁能源投资布局力度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，</w:t>
      </w:r>
      <w:r>
        <w:rPr>
          <w:rFonts w:hint="default" w:ascii="Times New Roman" w:hAnsi="Times New Roman" w:eastAsia="仿宋_GB2312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auto"/>
          <w:lang w:bidi="ar"/>
        </w:rPr>
        <w:t>带动</w:t>
      </w:r>
      <w:r>
        <w:rPr>
          <w:rFonts w:hint="default" w:ascii="Times New Roman" w:hAnsi="Times New Roman" w:eastAsia="仿宋_GB2312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auto"/>
          <w:lang w:val="en-US" w:eastAsia="zh-CN" w:bidi="ar"/>
        </w:rPr>
        <w:t>大悟、麻城等地</w:t>
      </w:r>
      <w:r>
        <w:rPr>
          <w:rFonts w:hint="default" w:ascii="Times New Roman" w:hAnsi="Times New Roman" w:eastAsia="仿宋_GB2312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auto"/>
          <w:lang w:bidi="ar"/>
        </w:rPr>
        <w:t>旅游、</w:t>
      </w:r>
      <w:r>
        <w:rPr>
          <w:rFonts w:hint="default" w:ascii="Times New Roman" w:hAnsi="Times New Roman" w:eastAsia="仿宋_GB2312" w:cs="Times New Roman"/>
          <w:i w:val="0"/>
          <w:iCs w:val="0"/>
          <w:caps w:val="0"/>
          <w:color w:val="auto"/>
          <w:spacing w:val="0"/>
          <w:sz w:val="32"/>
          <w:szCs w:val="32"/>
          <w:shd w:val="clear" w:color="auto" w:fill="auto"/>
          <w:lang w:val="en-US" w:eastAsia="zh-CN" w:bidi="ar"/>
        </w:rPr>
        <w:t>生态、养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lang w:val="en-US" w:eastAsia="zh-CN"/>
        </w:rPr>
        <w:t>殖等产业发展，产生低碳环保效益。</w:t>
      </w:r>
    </w:p>
    <w:p w14:paraId="7E0B474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highlight w:val="none"/>
          <w:lang w:val="en-US" w:eastAsia="zh-CN" w:bidi="ar-SA"/>
        </w:rPr>
      </w:pPr>
      <w:r>
        <w:rPr>
          <w:rFonts w:hint="default" w:ascii="Times New Roman" w:hAnsi="Times New Roman" w:eastAsia="楷体_GB2312" w:cs="Times New Roman"/>
          <w:color w:val="auto"/>
          <w:sz w:val="32"/>
          <w:szCs w:val="32"/>
          <w:lang w:val="en-US" w:eastAsia="zh-CN"/>
        </w:rPr>
        <w:t>（四）在回收利用废弃资源方面，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szCs w:val="32"/>
          <w:lang w:val="en-US" w:eastAsia="zh-CN"/>
        </w:rPr>
        <w:t>湖北生态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highlight w:val="none"/>
          <w:lang w:val="en-US" w:eastAsia="zh-CN" w:bidi="ar-SA"/>
        </w:rPr>
        <w:t>围绕磷石膏综合利用、大型生活垃圾发电、动力电池及稀贵金属回收利用、农业有机废弃物综合利用、市政餐厨污泥处置等重点业务，打造固废行业综合服务商。</w:t>
      </w:r>
    </w:p>
    <w:p w14:paraId="59E497B6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黑体" w:cs="Times New Roman"/>
          <w:b w:val="0"/>
          <w:bCs w:val="0"/>
          <w:color w:val="auto"/>
          <w:sz w:val="32"/>
          <w:lang w:val="en-US" w:eastAsia="zh-CN"/>
        </w:rPr>
      </w:pPr>
      <w:r>
        <w:rPr>
          <w:rFonts w:hint="default" w:ascii="Times New Roman" w:hAnsi="Times New Roman" w:eastAsia="黑体" w:cs="Times New Roman"/>
          <w:b w:val="0"/>
          <w:bCs w:val="0"/>
          <w:color w:val="auto"/>
          <w:sz w:val="32"/>
          <w:lang w:val="en-US" w:eastAsia="zh-CN"/>
        </w:rPr>
        <w:t>四、凝心，以员工责任聚力成就非凡</w:t>
      </w:r>
    </w:p>
    <w:p w14:paraId="582358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楷体" w:cs="Times New Roman"/>
          <w:b/>
          <w:bCs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楷体" w:cs="Times New Roman"/>
          <w:b w:val="0"/>
          <w:bCs w:val="0"/>
          <w:color w:val="auto"/>
          <w:sz w:val="32"/>
          <w:szCs w:val="32"/>
          <w:lang w:val="en-US" w:eastAsia="zh-CN"/>
        </w:rPr>
        <w:t>（一）保障员工权益。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集团严</w:t>
      </w:r>
      <w:r>
        <w:rPr>
          <w:rFonts w:hint="default" w:ascii="Times New Roman" w:hAnsi="Times New Roman" w:eastAsia="仿宋_GB2312" w:cs="Times New Roman"/>
          <w:snapToGrid/>
          <w:color w:val="auto"/>
          <w:spacing w:val="0"/>
          <w:kern w:val="2"/>
          <w:sz w:val="32"/>
          <w:szCs w:val="32"/>
          <w:lang w:val="en-US" w:eastAsia="zh-CN"/>
        </w:rPr>
        <w:t>格落实</w:t>
      </w:r>
      <w:r>
        <w:rPr>
          <w:rFonts w:hint="default" w:ascii="Times New Roman" w:hAnsi="Times New Roman" w:eastAsia="仿宋_GB2312" w:cs="Times New Roman"/>
          <w:snapToGrid/>
          <w:color w:val="auto"/>
          <w:spacing w:val="0"/>
          <w:kern w:val="2"/>
          <w:sz w:val="32"/>
          <w:szCs w:val="32"/>
        </w:rPr>
        <w:t>职工代表</w:t>
      </w:r>
      <w:r>
        <w:rPr>
          <w:rFonts w:hint="default" w:ascii="Times New Roman" w:hAnsi="Times New Roman" w:eastAsia="仿宋_GB2312" w:cs="Times New Roman"/>
          <w:snapToGrid/>
          <w:color w:val="auto"/>
          <w:spacing w:val="0"/>
          <w:kern w:val="2"/>
          <w:sz w:val="32"/>
          <w:szCs w:val="32"/>
          <w:lang w:val="en-US" w:eastAsia="zh-CN"/>
        </w:rPr>
        <w:t>大会和慰问帮扶制度</w:t>
      </w:r>
      <w:r>
        <w:rPr>
          <w:rFonts w:hint="default" w:ascii="Times New Roman" w:hAnsi="Times New Roman" w:eastAsia="仿宋_GB2312" w:cs="Times New Roman"/>
          <w:snapToGrid/>
          <w:color w:val="auto"/>
          <w:spacing w:val="0"/>
          <w:kern w:val="2"/>
          <w:sz w:val="32"/>
          <w:szCs w:val="32"/>
        </w:rPr>
        <w:t>，</w:t>
      </w:r>
      <w:r>
        <w:rPr>
          <w:rFonts w:hint="default" w:ascii="Times New Roman" w:hAnsi="Times New Roman" w:eastAsia="仿宋_GB2312" w:cs="Times New Roman"/>
          <w:snapToGrid/>
          <w:color w:val="auto"/>
          <w:spacing w:val="0"/>
          <w:kern w:val="2"/>
          <w:sz w:val="32"/>
          <w:szCs w:val="32"/>
          <w:lang w:val="en-US" w:eastAsia="zh-CN"/>
        </w:rPr>
        <w:t>切实</w:t>
      </w:r>
      <w:r>
        <w:rPr>
          <w:rFonts w:hint="default" w:ascii="Times New Roman" w:hAnsi="Times New Roman" w:eastAsia="仿宋_GB2312" w:cs="Times New Roman"/>
          <w:snapToGrid/>
          <w:color w:val="auto"/>
          <w:spacing w:val="0"/>
          <w:kern w:val="2"/>
          <w:sz w:val="32"/>
          <w:szCs w:val="32"/>
        </w:rPr>
        <w:t>维护职工各项权益。</w:t>
      </w:r>
      <w:r>
        <w:rPr>
          <w:rFonts w:hint="default" w:ascii="Times New Roman" w:hAnsi="Times New Roman" w:eastAsia="仿宋_GB2312" w:cs="Times New Roman"/>
          <w:snapToGrid/>
          <w:color w:val="auto"/>
          <w:spacing w:val="0"/>
          <w:kern w:val="2"/>
          <w:sz w:val="32"/>
          <w:szCs w:val="32"/>
          <w:lang w:val="en-US" w:eastAsia="zh-CN"/>
        </w:rPr>
        <w:t>开展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健康企业创建</w:t>
      </w:r>
      <w:r>
        <w:rPr>
          <w:rFonts w:hint="default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 w:bidi="ar-SA"/>
        </w:rPr>
        <w:t>，</w:t>
      </w:r>
      <w:r>
        <w:rPr>
          <w:rFonts w:hint="default" w:ascii="Times New Roman" w:hAnsi="Times New Roman" w:eastAsia="仿宋_GB2312" w:cs="Times New Roman"/>
          <w:i w:val="0"/>
          <w:caps w:val="0"/>
          <w:color w:val="auto"/>
          <w:spacing w:val="8"/>
          <w:sz w:val="32"/>
          <w:szCs w:val="32"/>
          <w:shd w:val="clear" w:color="auto" w:fill="FFFFFF"/>
          <w:lang w:val="en-US" w:eastAsia="zh-CN"/>
        </w:rPr>
        <w:t>为职工健康保驾护航。</w:t>
      </w:r>
    </w:p>
    <w:p w14:paraId="02A1C2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napToGrid/>
          <w:color w:val="auto"/>
          <w:spacing w:val="0"/>
          <w:kern w:val="2"/>
          <w:sz w:val="32"/>
          <w:szCs w:val="32"/>
          <w:lang w:val="en-US" w:eastAsia="zh-CN"/>
        </w:rPr>
      </w:pPr>
      <w:r>
        <w:rPr>
          <w:rFonts w:hint="default" w:ascii="Times New Roman" w:hAnsi="Times New Roman" w:eastAsia="楷体" w:cs="Times New Roman"/>
          <w:b w:val="0"/>
          <w:bCs w:val="0"/>
          <w:color w:val="auto"/>
          <w:sz w:val="32"/>
          <w:szCs w:val="32"/>
          <w:lang w:val="en-US" w:eastAsia="zh-CN"/>
        </w:rPr>
        <w:t>（二）助力员工成长。</w:t>
      </w:r>
      <w:r>
        <w:rPr>
          <w:rFonts w:hint="default" w:ascii="Times New Roman" w:hAnsi="Times New Roman" w:eastAsia="仿宋_GB2312" w:cs="Times New Roman"/>
          <w:snapToGrid/>
          <w:color w:val="auto"/>
          <w:spacing w:val="0"/>
          <w:kern w:val="2"/>
          <w:sz w:val="32"/>
          <w:szCs w:val="32"/>
          <w:lang w:val="en-US" w:eastAsia="zh-CN"/>
        </w:rPr>
        <w:t>集团以“长江大讲堂”“状元360”为主阵地，构建“1+4+N”的授课培训体系，进一步畅通职业通道，为员工提供长远的发展空间。建立“以业绩为导向”的薪酬体系，突出效益效率，重视员工激励，激发人才活力动力。</w:t>
      </w:r>
    </w:p>
    <w:p w14:paraId="2CE9E9E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630" w:leftChars="0"/>
        <w:jc w:val="both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楷体_GB2312" w:cs="Times New Roman"/>
          <w:color w:val="auto"/>
          <w:sz w:val="32"/>
          <w:szCs w:val="32"/>
          <w:lang w:val="en-US" w:eastAsia="zh-CN"/>
        </w:rPr>
        <w:t>（三）共创和谐氛围。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集团组织开展“七一”文艺汇演、</w:t>
      </w:r>
    </w:p>
    <w:p w14:paraId="2F8FB7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“十一”汇报展示、职工运动会、职工家属开放日等多项活动，组建足球、乒乓球、瑜伽等兴趣小组，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不断增强企业员工身份、价值、事业“三个认同”，打造每个人的长江产业、一体化的长江产业。</w:t>
      </w:r>
    </w:p>
    <w:p w14:paraId="1500857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黑体" w:cs="Times New Roman"/>
          <w:color w:val="auto"/>
          <w:sz w:val="32"/>
          <w:szCs w:val="32"/>
          <w:lang w:val="en-US" w:eastAsia="zh-CN"/>
        </w:rPr>
        <w:t>五、同向，以公共责任缔造美好生活</w:t>
      </w:r>
    </w:p>
    <w:p w14:paraId="3B391A0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楷体_GB2312" w:cs="Times New Roman"/>
          <w:color w:val="auto"/>
          <w:sz w:val="32"/>
          <w:szCs w:val="32"/>
          <w:lang w:val="en-US" w:eastAsia="zh-CN"/>
        </w:rPr>
        <w:t>（一）在服务民营企业方面，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sz w:val="32"/>
          <w:lang w:val="en-US" w:eastAsia="zh-CN"/>
        </w:rPr>
        <w:t>集团主动调整培育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孵化模式，为企业提供从初创期到成熟期的闭环服务。集团及旗下长江资管等企业严格落实小微企业减免租金相关政策，累计减免中小微企业租金3000余万元，位于省属企业前列。旗下长江产投、长江创投为民营企业发展提供强大资本支撑。旗下长江科服精准对接入驻小微企业，提供上门服务，全力解决难题。</w:t>
      </w:r>
    </w:p>
    <w:p w14:paraId="2FA01AF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楷体_GB2312" w:cs="Times New Roman"/>
          <w:color w:val="auto"/>
          <w:sz w:val="32"/>
          <w:szCs w:val="32"/>
          <w:lang w:val="en-US" w:eastAsia="zh-CN"/>
        </w:rPr>
        <w:t>（二）在服务人才就业方面，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旗下省人才集团组建后，围绕人才强省战略和就业优先战略，提升海外人才服务质量，精准匹配重点人才需求，打造校园招聘服务品牌，提供专业考试测评服务，为我省高质量发展提供强大的智力支撑。</w:t>
      </w:r>
    </w:p>
    <w:p w14:paraId="273440AE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rightChars="0" w:firstLine="640"/>
        <w:jc w:val="both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楷体_GB2312" w:cs="Times New Roman"/>
          <w:color w:val="auto"/>
          <w:kern w:val="2"/>
          <w:sz w:val="32"/>
          <w:szCs w:val="32"/>
          <w:lang w:val="en-US" w:eastAsia="zh-CN" w:bidi="ar-SA"/>
        </w:rPr>
        <w:t>（三）在服务乡村振兴方面，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集团选派6名驻村干部，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shd w:val="clear" w:color="auto" w:fill="FFFFFF"/>
        </w:rPr>
        <w:t>累计投入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shd w:val="clear" w:color="auto" w:fill="FFFFFF"/>
          <w:lang w:val="en-US" w:eastAsia="zh-CN"/>
        </w:rPr>
        <w:t>资金400余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shd w:val="clear" w:color="auto" w:fill="FFFFFF"/>
        </w:rPr>
        <w:t>万元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shd w:val="clear" w:color="auto" w:fill="FFFFFF"/>
          <w:lang w:val="en-US" w:eastAsia="zh-CN"/>
        </w:rPr>
        <w:t>支持当地产业发展和基础设施建设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shd w:val="clear" w:color="auto" w:fill="FFFFFF"/>
          <w:lang w:eastAsia="zh-CN"/>
        </w:rPr>
        <w:t>。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旗下消费帮扶公共服务平台，累计销售3780.46万元，直接和间接带动近15万困难群众就业增收。集团驻村工作队连续2年获“好”等次。</w:t>
      </w:r>
    </w:p>
    <w:p w14:paraId="70094B33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rightChars="0" w:firstLine="640"/>
        <w:jc w:val="both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楷体_GB2312" w:cs="Times New Roman"/>
          <w:color w:val="auto"/>
          <w:kern w:val="2"/>
          <w:sz w:val="32"/>
          <w:szCs w:val="32"/>
          <w:lang w:val="en-US" w:eastAsia="zh-CN" w:bidi="ar-SA"/>
        </w:rPr>
        <w:t>（四）在服务社区群众方面，</w:t>
      </w:r>
      <w:r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集团各级党员领导干部慰问社区生活困难党员、老党员100余人次，广大党员常态化参与社区治理，共同缔造美好生活环境。</w:t>
      </w:r>
    </w:p>
    <w:p w14:paraId="6DB76F54"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auto"/>
          <w:kern w:val="2"/>
          <w:sz w:val="32"/>
          <w:szCs w:val="32"/>
          <w:lang w:val="en-US" w:eastAsia="zh-CN" w:bidi="ar-SA"/>
        </w:rPr>
        <w:t>下一步，长江产业集团将坚持以习近平新时代中国特色社会主义思想为指导，全面贯彻党的二十届三中全会精神和省委七次全会精神，以做大做强“省级一流”产业投资集团和创建“发展方式新、公司治理新、经营机制新、布局结构新”的现代新国企为目标，持续深化国企改革提升行动，奋力打造成为“政府信任、社会认同、同行尊重、员工自豪”的一流企业，为奋力书写中国式现代化湖北实践“长江篇章”贡献新的更大力量。</w:t>
      </w:r>
    </w:p>
    <w:p w14:paraId="3BB2D0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</w:p>
    <w:p w14:paraId="679424E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br w:type="page"/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 xml:space="preserve">   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 xml:space="preserve"> 赛道四：爆款生产线。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“科环”小苏打是长江产业集团旗下上市公司双环科技的主打产品，产品安全高效、用途广泛，但目前包装设计、销售海报让人没有“消费冲动”（见下图）。请使用AI工具，设计一张产品广告海报，突出卖点，破解“流量密码”，让人“一看必买”，打造销量爆款。</w:t>
      </w:r>
    </w:p>
    <w:p w14:paraId="08DF2E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1352550</wp:posOffset>
            </wp:positionH>
            <wp:positionV relativeFrom="paragraph">
              <wp:posOffset>234950</wp:posOffset>
            </wp:positionV>
            <wp:extent cx="2865120" cy="2865120"/>
            <wp:effectExtent l="0" t="0" r="11430" b="11430"/>
            <wp:wrapTopAndBottom/>
            <wp:docPr id="2" name="图片 3" descr="1517a9f9068c98d58971e34bccebe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1517a9f9068c98d58971e34bccebedd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6AFDD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</w:p>
    <w:p w14:paraId="6FFB3F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</w:p>
    <w:p w14:paraId="56ADDC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cs="Times New Roman"/>
          <w:color w:val="auto"/>
          <w:lang w:val="en-US" w:eastAsia="zh-CN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br w:type="page"/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 xml:space="preserve">    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赛道五：智能JD设计师</w:t>
      </w:r>
      <w:r>
        <w:rPr>
          <w:rFonts w:hint="eastAsia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。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集团旗下各二级子公司计划招聘一名中层管理人员，岗位为公司科技创新部部长，拟在boss直聘上发布招聘信息。假设你是公司人力资源部门招聘工作负责人，请运用AI工具拟定本次招聘工作方案，包含但不限于招聘流程设计、各环节程序标准，具体的岗位职责、任职资格，管理方式等相关信息，确保招聘信息准确，流程合规。</w:t>
      </w:r>
    </w:p>
    <w:p w14:paraId="717959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</w:p>
    <w:p w14:paraId="47D9B3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br w:type="page"/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 xml:space="preserve">   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赛道六：</w:t>
      </w:r>
      <w:r>
        <w:rPr>
          <w:rFonts w:hint="eastAsia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资产运营的“进化革命”。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某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省属国有企业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持有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一处存量的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老旧工业园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区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，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该存量资产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包含：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（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1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）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部分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空置厂房（空置率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达50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%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以上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）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；（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）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若干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仓储设施（平均闲置时长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1年以上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）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；（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3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）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若干栋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配套商业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办公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楼宇（租户流失率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达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年均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30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%）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；（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4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）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尚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未开发地块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1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</w:rPr>
        <w:t>宗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（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土地性质为商业用地，目前尚未明确具体规划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）。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请结合运用相关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AI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工具，在目前现有国有资产监管政策要求下，针对该存量资产形成一个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资产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盘活运营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eastAsia="zh-CN"/>
        </w:rPr>
        <w:t>方案，</w:t>
      </w:r>
      <w:bookmarkStart w:id="3" w:name="OLE_LINK22"/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提升存量资产运营效益</w:t>
      </w:r>
      <w:bookmarkEnd w:id="3"/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，实现国有资产保值增值。</w:t>
      </w:r>
    </w:p>
    <w:p w14:paraId="6AE3552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br w:type="page"/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 xml:space="preserve">    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赛道</w:t>
      </w:r>
      <w:r>
        <w:rPr>
          <w:rFonts w:hint="eastAsia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七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：</w:t>
      </w:r>
      <w:r>
        <w:rPr>
          <w:rFonts w:hint="eastAsia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风险病毒的“基因解码”。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集团拟并购某民营上市公司医药企业，该企业主要从事仿制药研发、生产与销售，近年度海外市场销售额占其总销售额约40%，其中欧美市场占其海外市场销售额70%。同时，该企业近年来加大创新药研发力度，研发费用占其营业收入比例约20%。该企业管理团队专业化程度较高，长期任职本企业，具备较强药品研发、生产与销售从业经验，并通过股权激励措施，持股比例约6%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。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请利用AI工具，结合集团合规管理要求，从国内药品集采、仿制药与创新药政策、中美、中欧贸易政策、上市公司监管及国资监管等角度，编制一份该并购标的的合规风险分析意见。</w:t>
      </w:r>
    </w:p>
    <w:p w14:paraId="7830FE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</w:p>
    <w:p w14:paraId="13CAC4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br w:type="page"/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 xml:space="preserve">    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赛道</w:t>
      </w:r>
      <w:r>
        <w:rPr>
          <w:rFonts w:hint="eastAsia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八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：财报秒变商业预言书</w:t>
      </w:r>
      <w:r>
        <w:rPr>
          <w:rFonts w:hint="eastAsia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。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现有一份2024年某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科技企业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的年度报告，假定长江产业集团拟于其开展业务合作，请使用AI工具，自动分析其经营情况、财务状况、合作风险点等，给出相关合作建议并生成报告。</w:t>
      </w:r>
    </w:p>
    <w:p w14:paraId="1128C2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年度报告附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后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。</w:t>
      </w:r>
    </w:p>
    <w:p w14:paraId="271253A6">
      <w:pPr>
        <w:pStyle w:val="4"/>
        <w:pageBreakBefore w:val="0"/>
        <w:widowControl w:val="0"/>
        <w:numPr>
          <w:ilvl w:val="0"/>
          <w:numId w:val="0"/>
        </w:numPr>
        <w:kinsoku/>
        <w:wordWrap/>
        <w:overflowPunct w:val="0"/>
        <w:topLinePunct/>
        <w:autoSpaceDE/>
        <w:autoSpaceDN/>
        <w:bidi w:val="0"/>
        <w:adjustRightInd/>
        <w:snapToGrid/>
        <w:spacing w:line="560" w:lineRule="exact"/>
        <w:ind w:leftChars="0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</w:p>
    <w:p w14:paraId="7D479F8E">
      <w:pPr>
        <w:pStyle w:val="4"/>
        <w:pageBreakBefore w:val="0"/>
        <w:widowControl w:val="0"/>
        <w:numPr>
          <w:ilvl w:val="0"/>
          <w:numId w:val="0"/>
        </w:numPr>
        <w:kinsoku/>
        <w:wordWrap/>
        <w:overflowPunct w:val="0"/>
        <w:topLinePunct/>
        <w:autoSpaceDE/>
        <w:autoSpaceDN/>
        <w:bidi w:val="0"/>
        <w:adjustRightInd/>
        <w:snapToGrid/>
        <w:spacing w:line="560" w:lineRule="exact"/>
        <w:ind w:leftChars="0" w:firstLine="640" w:firstLineChars="200"/>
        <w:textAlignment w:val="auto"/>
        <w:rPr>
          <w:rFonts w:hint="default" w:ascii="Times New Roman" w:hAnsi="Times New Roman" w:eastAsia="仿宋_GB2312" w:cs="Times New Roman"/>
          <w:color w:val="auto"/>
          <w:lang w:eastAsia="zh-CN"/>
        </w:rPr>
      </w:pP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br w:type="page"/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赛道</w:t>
      </w:r>
      <w:r>
        <w:rPr>
          <w:rFonts w:hint="eastAsia" w:cs="Times New Roman"/>
          <w:b/>
          <w:bCs/>
          <w:color w:val="auto"/>
          <w:sz w:val="32"/>
          <w:szCs w:val="32"/>
          <w:lang w:val="en-US" w:eastAsia="zh-CN"/>
        </w:rPr>
        <w:t>九</w:t>
      </w:r>
      <w:r>
        <w:rPr>
          <w:rFonts w:hint="default" w:ascii="Times New Roman" w:hAnsi="Times New Roman" w:eastAsia="仿宋_GB2312" w:cs="Times New Roman"/>
          <w:b/>
          <w:bCs/>
          <w:color w:val="auto"/>
          <w:sz w:val="32"/>
          <w:szCs w:val="32"/>
          <w:lang w:val="en-US" w:eastAsia="zh-CN"/>
        </w:rPr>
        <w:t>：</w:t>
      </w:r>
      <w:r>
        <w:rPr>
          <w:rStyle w:val="9"/>
          <w:rFonts w:hint="default" w:ascii="Times New Roman" w:hAnsi="Times New Roman" w:eastAsia="仿宋_GB2312" w:cs="Times New Roman"/>
          <w:b/>
          <w:bCs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</w:rPr>
        <w:t>资本透视仪</w:t>
      </w:r>
      <w:r>
        <w:rPr>
          <w:rStyle w:val="9"/>
          <w:rFonts w:hint="eastAsia" w:cs="Times New Roman"/>
          <w:b/>
          <w:bCs/>
          <w:i w:val="0"/>
          <w:iCs w:val="0"/>
          <w:caps w:val="0"/>
          <w:color w:val="auto"/>
          <w:spacing w:val="0"/>
          <w:sz w:val="32"/>
          <w:szCs w:val="32"/>
          <w:shd w:val="clear" w:color="auto" w:fill="FFFFFF"/>
          <w:lang w:eastAsia="zh-CN"/>
        </w:rPr>
        <w:t>。</w:t>
      </w:r>
      <w:r>
        <w:rPr>
          <w:rFonts w:hint="default" w:ascii="Times New Roman" w:hAnsi="Times New Roman" w:eastAsia="仿宋_GB2312" w:cs="Times New Roman"/>
          <w:color w:val="auto"/>
        </w:rPr>
        <w:t>根据</w:t>
      </w:r>
      <w:r>
        <w:rPr>
          <w:rFonts w:hint="default" w:ascii="Times New Roman" w:hAnsi="Times New Roman" w:eastAsia="仿宋_GB2312" w:cs="Times New Roman"/>
          <w:color w:val="auto"/>
          <w:lang w:val="en-US" w:eastAsia="zh-CN"/>
        </w:rPr>
        <w:t>集团</w:t>
      </w:r>
      <w:r>
        <w:rPr>
          <w:rFonts w:hint="default" w:ascii="Times New Roman" w:hAnsi="Times New Roman" w:eastAsia="仿宋_GB2312" w:cs="Times New Roman"/>
          <w:color w:val="auto"/>
        </w:rPr>
        <w:t>《投资管理办法》</w:t>
      </w:r>
      <w:r>
        <w:rPr>
          <w:rFonts w:hint="default" w:ascii="Times New Roman" w:hAnsi="Times New Roman" w:eastAsia="仿宋_GB2312" w:cs="Times New Roman"/>
          <w:color w:val="auto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lang w:val="en-US" w:eastAsia="zh-CN"/>
        </w:rPr>
        <w:t>基于以下项目</w:t>
      </w:r>
      <w:r>
        <w:rPr>
          <w:rFonts w:hint="default" w:ascii="Times New Roman" w:hAnsi="Times New Roman" w:cs="Times New Roman"/>
          <w:color w:val="auto"/>
          <w:lang w:val="en-US" w:eastAsia="zh-CN"/>
        </w:rPr>
        <w:t>背景</w:t>
      </w:r>
      <w:r>
        <w:rPr>
          <w:rFonts w:hint="default" w:ascii="Times New Roman" w:hAnsi="Times New Roman" w:eastAsia="仿宋_GB2312" w:cs="Times New Roman"/>
          <w:color w:val="auto"/>
          <w:lang w:val="en-US" w:eastAsia="zh-CN"/>
        </w:rPr>
        <w:t>，利用AI工具，一是</w:t>
      </w:r>
      <w:r>
        <w:rPr>
          <w:rFonts w:hint="default" w:ascii="Times New Roman" w:hAnsi="Times New Roman" w:eastAsia="仿宋_GB2312" w:cs="Times New Roman"/>
          <w:color w:val="auto"/>
        </w:rPr>
        <w:t>判断项目属于“一般管控线”</w:t>
      </w:r>
      <w:r>
        <w:rPr>
          <w:rFonts w:hint="default" w:ascii="Times New Roman" w:hAnsi="Times New Roman" w:eastAsia="仿宋_GB2312" w:cs="Times New Roman"/>
          <w:color w:val="auto"/>
          <w:lang w:val="en-US" w:eastAsia="zh-CN"/>
        </w:rPr>
        <w:t>还是</w:t>
      </w:r>
      <w:r>
        <w:rPr>
          <w:rFonts w:hint="default" w:ascii="Times New Roman" w:hAnsi="Times New Roman" w:eastAsia="仿宋_GB2312" w:cs="Times New Roman"/>
          <w:color w:val="auto"/>
        </w:rPr>
        <w:t>“重大管控线”</w:t>
      </w:r>
      <w:r>
        <w:rPr>
          <w:rFonts w:hint="eastAsia" w:cs="Times New Roman"/>
          <w:color w:val="auto"/>
          <w:lang w:eastAsia="zh-CN"/>
        </w:rPr>
        <w:t>；</w:t>
      </w:r>
      <w:r>
        <w:rPr>
          <w:rFonts w:hint="default" w:ascii="Times New Roman" w:hAnsi="Times New Roman" w:eastAsia="仿宋_GB2312" w:cs="Times New Roman"/>
          <w:color w:val="auto"/>
          <w:lang w:val="en-US" w:eastAsia="zh-CN"/>
        </w:rPr>
        <w:t>二是</w:t>
      </w:r>
      <w:r>
        <w:rPr>
          <w:rFonts w:hint="default" w:ascii="Times New Roman" w:hAnsi="Times New Roman" w:eastAsia="仿宋_GB2312" w:cs="Times New Roman"/>
          <w:color w:val="auto"/>
        </w:rPr>
        <w:t>设计决策流程模拟材料</w:t>
      </w:r>
      <w:r>
        <w:rPr>
          <w:rFonts w:hint="default" w:ascii="Times New Roman" w:hAnsi="Times New Roman" w:eastAsia="仿宋_GB2312" w:cs="Times New Roman"/>
          <w:color w:val="auto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  <w:lang w:val="en-US" w:eastAsia="zh-CN"/>
        </w:rPr>
        <w:t>包括</w:t>
      </w:r>
      <w:r>
        <w:rPr>
          <w:rFonts w:hint="default" w:ascii="Times New Roman" w:hAnsi="Times New Roman" w:eastAsia="仿宋_GB2312" w:cs="Times New Roman"/>
          <w:color w:val="auto"/>
        </w:rPr>
        <w:t>评审申请表、表决意见表、答辩脚本</w:t>
      </w:r>
      <w:r>
        <w:rPr>
          <w:rFonts w:hint="default" w:ascii="Times New Roman" w:hAnsi="Times New Roman" w:eastAsia="仿宋_GB2312" w:cs="Times New Roman"/>
          <w:color w:val="auto"/>
          <w:lang w:eastAsia="zh-CN"/>
        </w:rPr>
        <w:t>。</w:t>
      </w:r>
    </w:p>
    <w:p w14:paraId="0B4303F2">
      <w:pPr>
        <w:pStyle w:val="3"/>
        <w:pageBreakBefore w:val="0"/>
        <w:widowControl w:val="0"/>
        <w:numPr>
          <w:ilvl w:val="0"/>
          <w:numId w:val="0"/>
        </w:numPr>
        <w:kinsoku/>
        <w:wordWrap/>
        <w:overflowPunct w:val="0"/>
        <w:topLinePunct/>
        <w:autoSpaceDE/>
        <w:autoSpaceDN/>
        <w:bidi w:val="0"/>
        <w:adjustRightInd/>
        <w:snapToGrid/>
        <w:spacing w:line="560" w:lineRule="exact"/>
        <w:ind w:firstLine="643" w:firstLineChars="200"/>
        <w:jc w:val="center"/>
        <w:textAlignment w:val="auto"/>
        <w:rPr>
          <w:rFonts w:hint="default" w:ascii="Times New Roman" w:hAnsi="Times New Roman" w:eastAsia="仿宋_GB2312" w:cs="Times New Roman"/>
          <w:b/>
          <w:bCs/>
          <w:i w:val="0"/>
          <w:iCs w:val="0"/>
          <w:color w:val="auto"/>
        </w:rPr>
      </w:pPr>
      <w:r>
        <w:rPr>
          <w:rFonts w:hint="default" w:ascii="Times New Roman" w:hAnsi="Times New Roman" w:eastAsia="仿宋_GB2312" w:cs="Times New Roman"/>
          <w:b/>
          <w:bCs/>
          <w:i w:val="0"/>
          <w:iCs w:val="0"/>
          <w:color w:val="auto"/>
        </w:rPr>
        <w:t>项目背景</w:t>
      </w:r>
    </w:p>
    <w:p w14:paraId="7D4CB5FF">
      <w:pPr>
        <w:pStyle w:val="4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</w:rPr>
      </w:pPr>
      <w:r>
        <w:rPr>
          <w:rFonts w:hint="default" w:ascii="Times New Roman" w:hAnsi="Times New Roman" w:eastAsia="仿宋_GB2312" w:cs="Times New Roman"/>
          <w:color w:val="auto"/>
        </w:rPr>
        <w:t>标的公司：湖北长新储能科技有限公司</w:t>
      </w:r>
    </w:p>
    <w:p w14:paraId="640BE009">
      <w:pPr>
        <w:pStyle w:val="4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</w:rPr>
      </w:pPr>
      <w:r>
        <w:rPr>
          <w:rFonts w:hint="default" w:ascii="Times New Roman" w:hAnsi="Times New Roman" w:eastAsia="仿宋_GB2312" w:cs="Times New Roman"/>
          <w:color w:val="auto"/>
        </w:rPr>
        <w:t>成立时间：2022年</w:t>
      </w:r>
    </w:p>
    <w:p w14:paraId="4EBCF6CD">
      <w:pPr>
        <w:pStyle w:val="4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</w:rPr>
      </w:pPr>
      <w:r>
        <w:rPr>
          <w:rFonts w:hint="default" w:ascii="Times New Roman" w:hAnsi="Times New Roman" w:eastAsia="仿宋_GB2312" w:cs="Times New Roman"/>
          <w:color w:val="auto"/>
        </w:rPr>
        <w:t>注册资本：5000万元人民币</w:t>
      </w:r>
    </w:p>
    <w:p w14:paraId="278CFC5C">
      <w:pPr>
        <w:pStyle w:val="4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  <w:lang w:eastAsia="zh-CN"/>
        </w:rPr>
      </w:pPr>
      <w:r>
        <w:rPr>
          <w:rFonts w:hint="default" w:ascii="Times New Roman" w:hAnsi="Times New Roman" w:eastAsia="仿宋_GB2312" w:cs="Times New Roman"/>
          <w:color w:val="auto"/>
        </w:rPr>
        <w:t>股权结构：创始团队（技术背景）持股70%（其中创始人张三持股40%）</w:t>
      </w:r>
      <w:r>
        <w:rPr>
          <w:rFonts w:hint="default" w:ascii="Times New Roman" w:hAnsi="Times New Roman" w:eastAsia="仿宋_GB2312" w:cs="Times New Roman"/>
          <w:color w:val="auto"/>
          <w:lang w:eastAsia="zh-CN"/>
        </w:rPr>
        <w:t>，</w:t>
      </w:r>
      <w:r>
        <w:rPr>
          <w:rFonts w:hint="default" w:ascii="Times New Roman" w:hAnsi="Times New Roman" w:eastAsia="仿宋_GB2312" w:cs="Times New Roman"/>
          <w:color w:val="auto"/>
        </w:rPr>
        <w:t>某科技公司持股30%</w:t>
      </w:r>
      <w:r>
        <w:rPr>
          <w:rFonts w:hint="default" w:ascii="Times New Roman" w:hAnsi="Times New Roman" w:eastAsia="仿宋_GB2312" w:cs="Times New Roman"/>
          <w:color w:val="auto"/>
          <w:lang w:eastAsia="zh-CN"/>
        </w:rPr>
        <w:t>；</w:t>
      </w:r>
    </w:p>
    <w:p w14:paraId="3F44B6A3">
      <w:pPr>
        <w:pStyle w:val="4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</w:rPr>
      </w:pPr>
      <w:r>
        <w:rPr>
          <w:rFonts w:hint="default" w:ascii="Times New Roman" w:hAnsi="Times New Roman" w:eastAsia="仿宋_GB2312" w:cs="Times New Roman"/>
          <w:color w:val="auto"/>
        </w:rPr>
        <w:t>主营业务：锂离子电池储能系统研发、生产及销售</w:t>
      </w:r>
    </w:p>
    <w:p w14:paraId="63A583B7">
      <w:pPr>
        <w:pStyle w:val="4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</w:rPr>
      </w:pPr>
      <w:r>
        <w:rPr>
          <w:rFonts w:hint="default" w:ascii="Times New Roman" w:hAnsi="Times New Roman" w:eastAsia="仿宋_GB2312" w:cs="Times New Roman"/>
          <w:color w:val="auto"/>
        </w:rPr>
        <w:t>核心技术：高能量密度电芯技术（专利号：CN2022XXXXXXX</w:t>
      </w:r>
      <w:r>
        <w:rPr>
          <w:rFonts w:hint="default" w:ascii="Times New Roman" w:hAnsi="Times New Roman" w:eastAsia="仿宋_GB2312" w:cs="Times New Roman"/>
          <w:color w:val="auto"/>
          <w:lang w:eastAsia="zh-CN"/>
        </w:rPr>
        <w:t>，能量密度220Wh/kg</w:t>
      </w:r>
      <w:r>
        <w:rPr>
          <w:rFonts w:hint="default" w:ascii="Times New Roman" w:hAnsi="Times New Roman" w:eastAsia="仿宋_GB2312" w:cs="Times New Roman"/>
          <w:color w:val="auto"/>
        </w:rPr>
        <w:t>）</w:t>
      </w:r>
    </w:p>
    <w:p w14:paraId="688B724B">
      <w:pPr>
        <w:pStyle w:val="4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</w:rPr>
      </w:pPr>
      <w:r>
        <w:rPr>
          <w:rFonts w:hint="default" w:ascii="Times New Roman" w:hAnsi="Times New Roman" w:eastAsia="仿宋_GB2312" w:cs="Times New Roman"/>
          <w:color w:val="auto"/>
        </w:rPr>
        <w:t>团队持股70%，某科技公司持股30%（技术入股）</w:t>
      </w:r>
    </w:p>
    <w:p w14:paraId="6113961D">
      <w:pPr>
        <w:pStyle w:val="4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</w:rPr>
      </w:pPr>
      <w:r>
        <w:rPr>
          <w:rFonts w:hint="default" w:ascii="Times New Roman" w:hAnsi="Times New Roman" w:eastAsia="仿宋_GB2312" w:cs="Times New Roman"/>
          <w:color w:val="auto"/>
        </w:rPr>
        <w:t>投资金额：1.2亿元（自有资金20%即2400万元，融资80%即9600万元）</w:t>
      </w:r>
    </w:p>
    <w:p w14:paraId="2A2A99E3">
      <w:pPr>
        <w:pStyle w:val="4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</w:rPr>
      </w:pPr>
      <w:r>
        <w:rPr>
          <w:rFonts w:hint="default" w:ascii="Times New Roman" w:hAnsi="Times New Roman" w:eastAsia="仿宋_GB2312" w:cs="Times New Roman"/>
          <w:color w:val="auto"/>
        </w:rPr>
        <w:t>投资形式：股权增资（拟增资后集团持股51%，原股东持股49%）</w:t>
      </w:r>
    </w:p>
    <w:p w14:paraId="2F89FEBF">
      <w:pPr>
        <w:pStyle w:val="4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</w:rPr>
      </w:pPr>
      <w:r>
        <w:rPr>
          <w:rFonts w:hint="default" w:ascii="Times New Roman" w:hAnsi="Times New Roman" w:eastAsia="仿宋_GB2312" w:cs="Times New Roman"/>
          <w:color w:val="auto"/>
        </w:rPr>
        <w:t>资金用途：扩建产能（新增年产2GWh生产线）、研发投入</w:t>
      </w:r>
    </w:p>
    <w:p w14:paraId="58876300">
      <w:pPr>
        <w:pStyle w:val="4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</w:rPr>
      </w:pPr>
      <w:r>
        <w:rPr>
          <w:rFonts w:hint="default" w:ascii="Times New Roman" w:hAnsi="Times New Roman" w:eastAsia="仿宋_GB2312" w:cs="Times New Roman"/>
          <w:color w:val="auto"/>
        </w:rPr>
        <w:t>行业背景：湖北省“十四五”新能源规划提出，2025年储能装机容量目标为3GW，补贴政策为0.3元/kWh（有效期至2025年底）。</w:t>
      </w:r>
    </w:p>
    <w:p w14:paraId="4E397FDE">
      <w:pPr>
        <w:pStyle w:val="4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</w:rPr>
      </w:pPr>
      <w:r>
        <w:rPr>
          <w:rFonts w:hint="default" w:ascii="Times New Roman" w:hAnsi="Times New Roman" w:eastAsia="仿宋_GB2312" w:cs="Times New Roman"/>
          <w:color w:val="auto"/>
        </w:rPr>
        <w:t>市场竞争：2023年国内储能系统厂商超200家，头部企业（如宁德时代、比亚迪）市占率超50%，长新储能处于第二梯队。</w:t>
      </w:r>
    </w:p>
    <w:p w14:paraId="47F77AB7">
      <w:pPr>
        <w:pStyle w:val="4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  <w:lang w:eastAsia="zh-CN"/>
        </w:rPr>
      </w:pPr>
      <w:r>
        <w:rPr>
          <w:rFonts w:hint="default" w:ascii="Times New Roman" w:hAnsi="Times New Roman" w:eastAsia="仿宋_GB2312" w:cs="Times New Roman"/>
          <w:color w:val="auto"/>
        </w:rPr>
        <w:t>技术趋势：行业平均电芯能量密度为240Wh/kg，循环寿命8000次</w:t>
      </w:r>
      <w:r>
        <w:rPr>
          <w:rFonts w:hint="default" w:ascii="Times New Roman" w:hAnsi="Times New Roman" w:eastAsia="仿宋_GB2312" w:cs="Times New Roman"/>
          <w:color w:val="auto"/>
          <w:lang w:eastAsia="zh-CN"/>
        </w:rPr>
        <w:t>。</w:t>
      </w:r>
    </w:p>
    <w:p w14:paraId="1B84ED1A">
      <w:pPr>
        <w:pStyle w:val="4"/>
        <w:numPr>
          <w:ilvl w:val="0"/>
          <w:numId w:val="0"/>
        </w:numPr>
        <w:overflowPunct w:val="0"/>
        <w:topLinePunct/>
        <w:autoSpaceDE/>
        <w:autoSpaceDN/>
        <w:snapToGrid/>
        <w:ind w:leftChars="0"/>
        <w:rPr>
          <w:rFonts w:hint="default" w:ascii="Times New Roman" w:hAnsi="Times New Roman" w:cs="Times New Roman"/>
          <w:color w:val="auto"/>
          <w:lang w:eastAsia="zh-CN"/>
        </w:rPr>
      </w:pPr>
    </w:p>
    <w:p w14:paraId="3D72A3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color w:val="auto"/>
          <w:sz w:val="32"/>
          <w:szCs w:val="32"/>
          <w:highlight w:val="yellow"/>
          <w:lang w:val="en-US" w:eastAsia="zh-CN"/>
        </w:rPr>
      </w:pPr>
    </w:p>
    <w:p w14:paraId="228F09AA"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br w:type="page"/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43655617-15CF-4B4F-84F8-E7728CE3C484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2" w:fontKey="{E46DFB02-4F69-4FB0-BBD5-609E7A24793E}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3" w:fontKey="{9FE0BDC2-71B1-4252-A853-DEE67CBD396F}"/>
  </w:font>
  <w:font w:name="方正小标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4" w:fontKey="{BE042852-2264-4472-9B7D-8E7C8A14613F}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5" w:fontKey="{EA3A2ACB-9D6F-41EE-8EC5-9C859298063A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6" w:fontKey="{5299BFFF-5315-4E60-A291-172825A54922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7" w:fontKey="{FFB81E75-4C78-46B5-984C-41AD8A6FAC9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7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7410F3E"/>
    <w:rsid w:val="57410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qFormat="1"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next w:val="1"/>
    <w:qFormat/>
    <w:uiPriority w:val="0"/>
    <w:pPr>
      <w:keepNext/>
      <w:keepLines/>
      <w:widowControl w:val="0"/>
      <w:overflowPunct w:val="0"/>
      <w:topLinePunct/>
      <w:spacing w:beforeLines="0" w:beforeAutospacing="0" w:afterLines="0" w:afterAutospacing="0" w:line="240" w:lineRule="auto"/>
      <w:ind w:firstLine="632" w:firstLineChars="200"/>
      <w:jc w:val="both"/>
      <w:outlineLvl w:val="0"/>
    </w:pPr>
    <w:rPr>
      <w:rFonts w:ascii="Times New Roman" w:hAnsi="Times New Roman" w:eastAsia="黑体" w:cs="Times New Roman"/>
      <w:kern w:val="44"/>
      <w:sz w:val="32"/>
      <w:szCs w:val="32"/>
      <w:lang w:bidi="ar-SA"/>
    </w:rPr>
  </w:style>
  <w:style w:type="paragraph" w:styleId="2">
    <w:name w:val="heading 2"/>
    <w:basedOn w:val="1"/>
    <w:next w:val="1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="Calibri Light" w:hAnsi="Calibri Light" w:eastAsia="宋体" w:cs="Times New Roman"/>
      <w:b/>
      <w:bCs/>
      <w:sz w:val="32"/>
      <w:szCs w:val="32"/>
    </w:rPr>
  </w:style>
  <w:style w:type="character" w:default="1" w:styleId="8">
    <w:name w:val="Default Paragraph Font"/>
    <w:semiHidden/>
    <w:uiPriority w:val="0"/>
  </w:style>
  <w:style w:type="table" w:default="1" w:styleId="7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qFormat/>
    <w:uiPriority w:val="0"/>
    <w:pPr>
      <w:widowControl w:val="0"/>
      <w:overflowPunct w:val="0"/>
      <w:topLinePunct/>
      <w:spacing w:afterLines="0" w:afterAutospacing="0"/>
      <w:ind w:firstLine="632" w:firstLineChars="200"/>
      <w:jc w:val="both"/>
    </w:pPr>
    <w:rPr>
      <w:rFonts w:ascii="Times New Roman" w:hAnsi="Times New Roman" w:eastAsia="仿宋_GB2312" w:cs="Times New Roman"/>
      <w:kern w:val="2"/>
      <w:sz w:val="32"/>
      <w:szCs w:val="32"/>
      <w:lang w:bidi="ar-SA"/>
    </w:rPr>
  </w:style>
  <w:style w:type="paragraph" w:styleId="5">
    <w:name w:val="Body Text Indent 2"/>
    <w:basedOn w:val="1"/>
    <w:qFormat/>
    <w:uiPriority w:val="0"/>
    <w:pPr>
      <w:spacing w:line="480" w:lineRule="auto"/>
      <w:ind w:left="420" w:leftChars="200"/>
    </w:pPr>
    <w:rPr>
      <w:rFonts w:eastAsia="宋体"/>
      <w:sz w:val="21"/>
    </w:rPr>
  </w:style>
  <w:style w:type="paragraph" w:styleId="6">
    <w:name w:val="Normal (Web)"/>
    <w:basedOn w:val="1"/>
    <w:qFormat/>
    <w:uiPriority w:val="0"/>
    <w:rPr>
      <w:sz w:val="24"/>
    </w:rPr>
  </w:style>
  <w:style w:type="character" w:styleId="9">
    <w:name w:val="Strong"/>
    <w:basedOn w:val="8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2025-06-05T07:39:00Z</dcterms:created>
  <dc:creator>lwk</dc:creator>
  <cp:lastModifiedBy>lwk</cp:lastModifiedBy>
  <dcterms:modified xsi:type="dcterms:W3CDTF">2025-06-05T07:40:03Z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5F75472D58E547169C7AB6B8BE333D63_11</vt:lpwstr>
  </property>
  <property fmtid="{D5CDD505-2E9C-101B-9397-08002B2CF9AE}" pid="4" name="KSOTemplateDocerSaveRecord">
    <vt:lpwstr>eyJoZGlkIjoiOWM2OWIyZmY5MDliOTBhNGRhYmE0NjU1N2VkZWEzYjgiLCJ1c2VySWQiOiI2MDg1NjEyMjIifQ==</vt:lpwstr>
  </property>
</Properties>
</file>